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3B6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ПРИКАЗ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ОРГАНИЗАЦИИ ДЕЯТЕЛЬНОСТИ ОРГАНИЗАЦИЙ СОЦИАЛЬНОГО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ОБСЛУЖИВАНИЯ, ИХ СТРУКТУРНЫХ ПОДРАЗДЕЛЕНИЙ</w:t>
      </w:r>
    </w:p>
    <w:p w:rsidR="001113B6" w:rsidRPr="001113B6" w:rsidRDefault="001113B6" w:rsidP="0011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57736">
        <w:rPr>
          <w:rFonts w:ascii="Times New Roman" w:hAnsi="Times New Roman" w:cs="Times New Roman"/>
          <w:sz w:val="24"/>
          <w:szCs w:val="24"/>
        </w:rPr>
        <w:t>подпунктом 5.2.97(2)</w:t>
      </w:r>
      <w:r w:rsidRPr="001113B6"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75773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1113B6">
        <w:rPr>
          <w:rFonts w:ascii="Times New Roman" w:hAnsi="Times New Roman" w:cs="Times New Roman"/>
          <w:sz w:val="24"/>
          <w:szCs w:val="24"/>
        </w:rPr>
        <w:t>организации деятельности организаций социального обслуживания, их структурных подразделений.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Министр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М.А.ТОПИЛИН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Утверждены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1113B6">
        <w:rPr>
          <w:rFonts w:ascii="Times New Roman" w:hAnsi="Times New Roman" w:cs="Times New Roman"/>
          <w:sz w:val="24"/>
          <w:szCs w:val="24"/>
        </w:rPr>
        <w:t>ПРАВИЛА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ОРГАНИЗАЦИИ ДЕЯТЕЛЬНОСТИ ОРГАНИЗАЦИЙ СОЦИАЛЬНОГО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ОБСЛУЖИВАНИЯ, ИХ СТРУКТУРНЫХ ПОДРАЗДЕЛЕНИЙ</w:t>
      </w:r>
    </w:p>
    <w:p w:rsidR="001113B6" w:rsidRPr="001113B6" w:rsidRDefault="001113B6" w:rsidP="0011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3. Деятельность организаций социального обслуживания осуществляется в соответствии с Федеральным </w:t>
      </w:r>
      <w:r w:rsidR="00757736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1113B6">
        <w:rPr>
          <w:rFonts w:ascii="Times New Roman" w:hAnsi="Times New Roman" w:cs="Times New Roman"/>
          <w:sz w:val="24"/>
          <w:szCs w:val="24"/>
        </w:rPr>
        <w:t>от 28 декабря 2013 г. 442-ФЗ "Об основах социального обслуживания граждан в Российской Федерации</w:t>
      </w:r>
      <w:proofErr w:type="gramStart"/>
      <w:r w:rsidRPr="001113B6">
        <w:rPr>
          <w:rFonts w:ascii="Times New Roman" w:hAnsi="Times New Roman" w:cs="Times New Roman"/>
          <w:sz w:val="24"/>
          <w:szCs w:val="24"/>
        </w:rPr>
        <w:t>"  (</w:t>
      </w:r>
      <w:proofErr w:type="gramEnd"/>
      <w:r w:rsidRPr="001113B6">
        <w:rPr>
          <w:rFonts w:ascii="Times New Roman" w:hAnsi="Times New Roman" w:cs="Times New Roman"/>
          <w:sz w:val="24"/>
          <w:szCs w:val="24"/>
        </w:rPr>
        <w:t xml:space="preserve">далее - Федеральный закон), Гражданским </w:t>
      </w:r>
      <w:r w:rsidR="00757736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1113B6">
        <w:rPr>
          <w:rFonts w:ascii="Times New Roman" w:hAnsi="Times New Roman" w:cs="Times New Roman"/>
          <w:sz w:val="24"/>
          <w:szCs w:val="24"/>
        </w:rPr>
        <w:t xml:space="preserve">Российской Федерации и иными законодательными и нормативными правовыми актами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законодательными и нормативными правовыми актами субъектов Российской Федерации.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5. Социальные услуги в полустационарной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социальных услуг в указанных формах или в сочетании указанных форм не достигаются </w:t>
      </w:r>
      <w:proofErr w:type="gramStart"/>
      <w:r w:rsidRPr="001113B6">
        <w:rPr>
          <w:rFonts w:ascii="Times New Roman" w:hAnsi="Times New Roman" w:cs="Times New Roman"/>
          <w:sz w:val="24"/>
          <w:szCs w:val="24"/>
        </w:rPr>
        <w:t>цели социального обслуживания</w:t>
      </w:r>
      <w:proofErr w:type="gramEnd"/>
      <w:r w:rsidRPr="001113B6">
        <w:rPr>
          <w:rFonts w:ascii="Times New Roman" w:hAnsi="Times New Roman" w:cs="Times New Roman"/>
          <w:sz w:val="24"/>
          <w:szCs w:val="24"/>
        </w:rPr>
        <w:t xml:space="preserve">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Предоставление социальных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социально-бытовые;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социально-медицинские;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социально-психологические;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социально-педагогические;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5) социально-трудовые;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6) социально-правовые;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8) срочные социальные услуги.</w:t>
      </w:r>
    </w:p>
    <w:p w:rsidR="001113B6" w:rsidRPr="001113B6" w:rsidRDefault="001113B6" w:rsidP="0011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&lt;1&gt; </w:t>
      </w:r>
      <w:r w:rsidR="00757736">
        <w:rPr>
          <w:rFonts w:ascii="Times New Roman" w:hAnsi="Times New Roman" w:cs="Times New Roman"/>
          <w:sz w:val="24"/>
          <w:szCs w:val="24"/>
        </w:rPr>
        <w:t>Пункт 9 части 1 статьи 8</w:t>
      </w:r>
      <w:r w:rsidRPr="001113B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2) возможность для самостоятельного передвижения по территории организации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>, допуск собак-проводников;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), допуск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>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5) утратил силу с 1 января 2021 года. - </w:t>
      </w:r>
      <w:r w:rsidR="00757736">
        <w:rPr>
          <w:rFonts w:ascii="Times New Roman" w:hAnsi="Times New Roman" w:cs="Times New Roman"/>
          <w:sz w:val="24"/>
          <w:szCs w:val="24"/>
        </w:rPr>
        <w:t>приказ</w:t>
      </w:r>
      <w:r w:rsidRPr="001113B6">
        <w:rPr>
          <w:rFonts w:ascii="Times New Roman" w:hAnsi="Times New Roman" w:cs="Times New Roman"/>
          <w:sz w:val="24"/>
          <w:szCs w:val="24"/>
        </w:rPr>
        <w:t xml:space="preserve"> Минтруда России от 30.03.2020 N 157н.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r w:rsidR="0075773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1113B6">
        <w:rPr>
          <w:rFonts w:ascii="Times New Roman" w:hAnsi="Times New Roman" w:cs="Times New Roman"/>
          <w:sz w:val="24"/>
          <w:szCs w:val="24"/>
        </w:rPr>
        <w:t>Российской Федерации о психиатрической помощи.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57736">
        <w:rPr>
          <w:rFonts w:ascii="Times New Roman" w:hAnsi="Times New Roman" w:cs="Times New Roman"/>
          <w:sz w:val="24"/>
          <w:szCs w:val="24"/>
        </w:rPr>
        <w:t xml:space="preserve">статьей 18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Социальные услуги в форме социального обслуживания на дому, в том числе с применением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проживания дома).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жизнедеятельности. 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r w:rsidR="00757736">
        <w:rPr>
          <w:rFonts w:ascii="Times New Roman" w:hAnsi="Times New Roman" w:cs="Times New Roman"/>
          <w:sz w:val="24"/>
          <w:szCs w:val="24"/>
        </w:rPr>
        <w:t xml:space="preserve">статьей 17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 от 28 декабря 2013 г. N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r w:rsidR="00757736">
        <w:rPr>
          <w:rFonts w:ascii="Times New Roman" w:hAnsi="Times New Roman" w:cs="Times New Roman"/>
          <w:sz w:val="24"/>
          <w:szCs w:val="24"/>
        </w:rPr>
        <w:t xml:space="preserve">статьей 28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</w:t>
      </w:r>
      <w:proofErr w:type="gramStart"/>
      <w:r w:rsidRPr="001113B6">
        <w:rPr>
          <w:rFonts w:ascii="Times New Roman" w:hAnsi="Times New Roman" w:cs="Times New Roman"/>
          <w:sz w:val="24"/>
          <w:szCs w:val="24"/>
        </w:rPr>
        <w:t>в соответствии с нормативными правовым актами</w:t>
      </w:r>
      <w:proofErr w:type="gramEnd"/>
      <w:r w:rsidRPr="001113B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издаваемыми в рамках полномочий, установленных </w:t>
      </w:r>
      <w:r w:rsidR="00757736">
        <w:rPr>
          <w:rFonts w:ascii="Times New Roman" w:hAnsi="Times New Roman" w:cs="Times New Roman"/>
          <w:sz w:val="24"/>
          <w:szCs w:val="24"/>
        </w:rPr>
        <w:t xml:space="preserve">статьей 8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надлежащий уход;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безопасные условия проживания и предоставления социальных услуг;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соблюдение требований и правил пожарной безопасности;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соблюдение требований государственных санитарно-эпидемиологических правил и нормативов;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5) содействие социализации, активному образу жизни, сохранению пребывания получателя социальных услуг в привычной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lastRenderedPageBreak/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18. Организации социального обслуживания имеют право: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r w:rsidR="00D156F6">
        <w:rPr>
          <w:rFonts w:ascii="Times New Roman" w:hAnsi="Times New Roman" w:cs="Times New Roman"/>
          <w:sz w:val="24"/>
          <w:szCs w:val="24"/>
        </w:rPr>
        <w:t xml:space="preserve">частью 3 статьи 18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быть включенными в реестр поставщиков социальных услуг субъекта Российской Федерации;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&lt;1&gt; </w:t>
      </w:r>
      <w:r w:rsidR="00D156F6">
        <w:rPr>
          <w:rFonts w:ascii="Times New Roman" w:hAnsi="Times New Roman" w:cs="Times New Roman"/>
          <w:sz w:val="24"/>
          <w:szCs w:val="24"/>
        </w:rPr>
        <w:t xml:space="preserve">часть 2 статья 11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20. Организации социального обслуживания обязаны: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1) осуществлять свою деятельность в соответствии с Федеральным </w:t>
      </w:r>
      <w:r w:rsidR="00D156F6">
        <w:rPr>
          <w:rFonts w:ascii="Times New Roman" w:hAnsi="Times New Roman" w:cs="Times New Roman"/>
          <w:sz w:val="24"/>
          <w:szCs w:val="24"/>
        </w:rPr>
        <w:t>законом</w:t>
      </w:r>
      <w:r w:rsidRPr="001113B6">
        <w:rPr>
          <w:rFonts w:ascii="Times New Roman" w:hAnsi="Times New Roman" w:cs="Times New Roman"/>
          <w:sz w:val="24"/>
          <w:szCs w:val="24"/>
        </w:rPr>
        <w:t>, другими федеральными законами, законами и иными нормативными правовыми актами субъекта Российской Федерации;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2) предоставлять социальные услуги получателям социальных услуг в соответствии с </w:t>
      </w:r>
      <w:r w:rsidR="00D156F6">
        <w:rPr>
          <w:rFonts w:ascii="Times New Roman" w:hAnsi="Times New Roman" w:cs="Times New Roman"/>
          <w:sz w:val="24"/>
          <w:szCs w:val="24"/>
        </w:rPr>
        <w:t xml:space="preserve">индивидуальными программами </w:t>
      </w:r>
      <w:r w:rsidRPr="001113B6">
        <w:rPr>
          <w:rFonts w:ascii="Times New Roman" w:hAnsi="Times New Roman" w:cs="Times New Roman"/>
          <w:sz w:val="24"/>
          <w:szCs w:val="24"/>
        </w:rPr>
        <w:t xml:space="preserve">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r w:rsidR="00D156F6">
        <w:rPr>
          <w:rFonts w:ascii="Times New Roman" w:hAnsi="Times New Roman" w:cs="Times New Roman"/>
          <w:sz w:val="24"/>
          <w:szCs w:val="24"/>
        </w:rPr>
        <w:t>закона</w:t>
      </w:r>
      <w:r w:rsidRPr="001113B6">
        <w:rPr>
          <w:rFonts w:ascii="Times New Roman" w:hAnsi="Times New Roman" w:cs="Times New Roman"/>
          <w:sz w:val="24"/>
          <w:szCs w:val="24"/>
        </w:rPr>
        <w:t>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3) предоставлять срочные социальные услуги в соответствии со </w:t>
      </w:r>
      <w:r w:rsidR="00D156F6">
        <w:rPr>
          <w:rFonts w:ascii="Times New Roman" w:hAnsi="Times New Roman" w:cs="Times New Roman"/>
          <w:sz w:val="24"/>
          <w:szCs w:val="24"/>
        </w:rPr>
        <w:t>статьей 21</w:t>
      </w:r>
      <w:r w:rsidRPr="001113B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4) предоставлять бесплатно в доступной форме получателям социальных услуг или их </w:t>
      </w:r>
      <w:r w:rsidR="00D156F6">
        <w:rPr>
          <w:rFonts w:ascii="Times New Roman" w:hAnsi="Times New Roman" w:cs="Times New Roman"/>
          <w:sz w:val="24"/>
          <w:szCs w:val="24"/>
        </w:rPr>
        <w:t>законным представителям</w:t>
      </w:r>
      <w:r w:rsidRPr="001113B6">
        <w:rPr>
          <w:rFonts w:ascii="Times New Roman" w:hAnsi="Times New Roman" w:cs="Times New Roman"/>
          <w:sz w:val="24"/>
          <w:szCs w:val="24"/>
        </w:rP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5) использовать информацию о получателях социальных услуг в соответствии с установленными </w:t>
      </w:r>
      <w:r w:rsidR="00D156F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113B6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 требованиями о защите персональных данных &lt;1&gt;;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&lt;1&gt; </w:t>
      </w:r>
      <w:r w:rsidR="00D156F6">
        <w:rPr>
          <w:rFonts w:ascii="Times New Roman" w:hAnsi="Times New Roman" w:cs="Times New Roman"/>
          <w:sz w:val="24"/>
          <w:szCs w:val="24"/>
        </w:rPr>
        <w:t>пункт 1 части 1 статьи 12</w:t>
      </w:r>
      <w:r w:rsidRPr="001113B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7) осуществлять социальное сопровождение в соответствии со </w:t>
      </w:r>
      <w:r w:rsidR="00D156F6">
        <w:rPr>
          <w:rFonts w:ascii="Times New Roman" w:hAnsi="Times New Roman" w:cs="Times New Roman"/>
          <w:sz w:val="24"/>
          <w:szCs w:val="24"/>
        </w:rPr>
        <w:t>статьей 22</w:t>
      </w:r>
      <w:r w:rsidRPr="001113B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r w:rsidR="00D156F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1113B6">
        <w:rPr>
          <w:rFonts w:ascii="Times New Roman" w:hAnsi="Times New Roman" w:cs="Times New Roman"/>
          <w:sz w:val="24"/>
          <w:szCs w:val="24"/>
        </w:rPr>
        <w:t>Российской Федерации порядке федеральными учреждениями медико-социальной экспертизы;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lastRenderedPageBreak/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12) обеспечивать сохранность личных вещей и ценностей получателей социальных услуг;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21. Организации социального обслуживания при оказании социальных услуг не вправе: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1113B6">
        <w:rPr>
          <w:rFonts w:ascii="Times New Roman" w:hAnsi="Times New Roman" w:cs="Times New Roman"/>
          <w:sz w:val="24"/>
          <w:szCs w:val="24"/>
        </w:rPr>
        <w:t>22. Организации социального обслуживания обеспечивают открытость и доступность информации: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о структуре и об органах управления организации социального обслуживания;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9) о наличии лицензий на осуществление деятельности, подлежащей лицензированию в соответствии </w:t>
      </w:r>
      <w:r w:rsidR="00D156F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1113B6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10) о финансово-хозяйственной деятельности;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lastRenderedPageBreak/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23. Информация, указанная в </w:t>
      </w:r>
      <w:r w:rsidR="00D156F6">
        <w:rPr>
          <w:rFonts w:ascii="Times New Roman" w:hAnsi="Times New Roman" w:cs="Times New Roman"/>
          <w:sz w:val="24"/>
          <w:szCs w:val="24"/>
        </w:rPr>
        <w:t>пункте 22</w:t>
      </w:r>
      <w:r w:rsidRPr="001113B6">
        <w:rPr>
          <w:rFonts w:ascii="Times New Roman" w:hAnsi="Times New Roman" w:cs="Times New Roman"/>
          <w:sz w:val="24"/>
          <w:szCs w:val="24"/>
        </w:rP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r w:rsidR="00D156F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1113B6"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r w:rsidR="00D156F6">
        <w:rPr>
          <w:rFonts w:ascii="Times New Roman" w:hAnsi="Times New Roman" w:cs="Times New Roman"/>
          <w:sz w:val="24"/>
          <w:szCs w:val="24"/>
        </w:rPr>
        <w:t xml:space="preserve">частью 3 </w:t>
      </w:r>
      <w:r w:rsidR="00025539">
        <w:rPr>
          <w:rFonts w:ascii="Times New Roman" w:hAnsi="Times New Roman" w:cs="Times New Roman"/>
          <w:sz w:val="24"/>
          <w:szCs w:val="24"/>
        </w:rPr>
        <w:t xml:space="preserve">статьи 13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r w:rsidR="00025539">
        <w:rPr>
          <w:rFonts w:ascii="Times New Roman" w:hAnsi="Times New Roman" w:cs="Times New Roman"/>
          <w:sz w:val="24"/>
          <w:szCs w:val="24"/>
        </w:rPr>
        <w:t>статьи 23.1</w:t>
      </w:r>
      <w:r w:rsidRPr="001113B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r w:rsidR="00025539">
        <w:rPr>
          <w:rFonts w:ascii="Times New Roman" w:hAnsi="Times New Roman" w:cs="Times New Roman"/>
          <w:sz w:val="24"/>
          <w:szCs w:val="24"/>
        </w:rPr>
        <w:t>Примерного положения</w:t>
      </w:r>
      <w:r w:rsidRPr="001113B6">
        <w:rPr>
          <w:rFonts w:ascii="Times New Roman" w:hAnsi="Times New Roman" w:cs="Times New Roman"/>
          <w:sz w:val="24"/>
          <w:szCs w:val="24"/>
        </w:rPr>
        <w:t xml:space="preserve"> о попечительском совете организации социального обслуживания, утвержденного приказом Минтруда России от 30 июня 2014 г. N 425н.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4" w:history="1">
        <w:r w:rsidRPr="001113B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113B6"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прав потребителей &lt;1&gt;.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&lt;1&gt; </w:t>
      </w:r>
      <w:r w:rsidR="00025539">
        <w:rPr>
          <w:rFonts w:ascii="Times New Roman" w:hAnsi="Times New Roman" w:cs="Times New Roman"/>
          <w:sz w:val="24"/>
          <w:szCs w:val="24"/>
        </w:rPr>
        <w:t xml:space="preserve">статья 34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27. За деятельностью организаций социального обслуживания осуществляется государственный </w:t>
      </w:r>
      <w:r w:rsidR="0002553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113B6">
        <w:rPr>
          <w:rFonts w:ascii="Times New Roman" w:hAnsi="Times New Roman" w:cs="Times New Roman"/>
          <w:sz w:val="24"/>
          <w:szCs w:val="24"/>
        </w:rPr>
        <w:t xml:space="preserve">(надзор) в Порядке, установленном Федеральным </w:t>
      </w:r>
      <w:r w:rsidR="0002553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1113B6">
        <w:rPr>
          <w:rFonts w:ascii="Times New Roman" w:hAnsi="Times New Roman" w:cs="Times New Roman"/>
          <w:sz w:val="24"/>
          <w:szCs w:val="24"/>
        </w:rPr>
        <w:t>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дом-интернат для престарелых, инвалидов, молодых инвалидов, детей-инвалидов, ветеранов войны и труда;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дом-интернат, в том числе детский, предназначенный для граждан, имеющих психические расстройства;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специальный дом-интернат, в том числе для престарелых;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иные организации, осуществляющие социальное обслуживание в стационарной форме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30. Стационарные организации социального обслуживания создаются в форме учреждения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 xml:space="preserve">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r w:rsidR="0002553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1113B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r w:rsidR="00025539">
        <w:rPr>
          <w:rFonts w:ascii="Times New Roman" w:hAnsi="Times New Roman" w:cs="Times New Roman"/>
          <w:sz w:val="24"/>
          <w:szCs w:val="24"/>
        </w:rPr>
        <w:t xml:space="preserve">статьей 28 </w:t>
      </w:r>
      <w:r w:rsidRPr="001113B6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34. 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 технологий социального обслуживания;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постоянного проживания в данных организациях;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5) учета потребностей и нуждаемости получателей социальных услуг детского и престарелого возраста.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3"/>
      <w:bookmarkEnd w:id="3"/>
      <w:r w:rsidRPr="001113B6">
        <w:rPr>
          <w:rFonts w:ascii="Times New Roman" w:hAnsi="Times New Roman" w:cs="Times New Roman"/>
          <w:sz w:val="24"/>
          <w:szCs w:val="24"/>
        </w:rPr>
        <w:t>36. Основными задачами организаций социального обслуживания являются: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числе обеспечение ухода и наблюдения за ними в соответствии с состоянием их здоровья;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 него и социальной адаптации после выписки;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5) содействие в реализации мероприятий по реабилитации или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индивидуальной программой реабилитации или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 инвалида (ребенка-инвалида), в обеспечении необходимыми техническими средствами реабилитации и медицинскими изделиями;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</w:t>
      </w:r>
      <w:proofErr w:type="spellStart"/>
      <w:r w:rsidRPr="001113B6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1113B6">
        <w:rPr>
          <w:rFonts w:ascii="Times New Roman" w:hAnsi="Times New Roman" w:cs="Times New Roman"/>
          <w:sz w:val="24"/>
          <w:szCs w:val="24"/>
        </w:rPr>
        <w:t xml:space="preserve">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7) содействие получателям социальных услуг, включая детей, в трудоустройстве;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8) содействие получателям социальных услуг, включая детей, в получении образования в образовательных организациях;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9) содействие получателям социальных услуг, включая детей, в получении медицинской помощи всех видов в медицинских организациях;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10) содействие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12) иные задачи в соответствии с законодательством о социальном обслуживании граждан.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IV - постоянная нуждаемость в посторонней помощи при полной утрате способности или </w:t>
      </w:r>
      <w:r w:rsidRPr="001113B6">
        <w:rPr>
          <w:rFonts w:ascii="Times New Roman" w:hAnsi="Times New Roman" w:cs="Times New Roman"/>
          <w:sz w:val="24"/>
          <w:szCs w:val="24"/>
        </w:rPr>
        <w:lastRenderedPageBreak/>
        <w:t>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r w:rsidR="00025539">
        <w:rPr>
          <w:rFonts w:ascii="Times New Roman" w:hAnsi="Times New Roman" w:cs="Times New Roman"/>
          <w:sz w:val="24"/>
          <w:szCs w:val="24"/>
        </w:rPr>
        <w:t>пунктом 36</w:t>
      </w:r>
      <w:r w:rsidRPr="001113B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r w:rsidR="00025539">
        <w:rPr>
          <w:rFonts w:ascii="Times New Roman" w:hAnsi="Times New Roman" w:cs="Times New Roman"/>
          <w:sz w:val="24"/>
          <w:szCs w:val="24"/>
        </w:rPr>
        <w:t xml:space="preserve">приложением № 2 </w:t>
      </w:r>
      <w:r w:rsidRPr="001113B6">
        <w:rPr>
          <w:rFonts w:ascii="Times New Roman" w:hAnsi="Times New Roman" w:cs="Times New Roman"/>
          <w:sz w:val="24"/>
          <w:szCs w:val="24"/>
        </w:rPr>
        <w:t>к Правилам организации деятельности организаций социального обслуживания, их структурных подразделений.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r w:rsidR="00025539">
        <w:rPr>
          <w:rFonts w:ascii="Times New Roman" w:hAnsi="Times New Roman" w:cs="Times New Roman"/>
          <w:sz w:val="24"/>
          <w:szCs w:val="24"/>
        </w:rPr>
        <w:t xml:space="preserve">Квалификационным требованиям </w:t>
      </w:r>
      <w:r w:rsidRPr="001113B6">
        <w:rPr>
          <w:rFonts w:ascii="Times New Roman" w:hAnsi="Times New Roman" w:cs="Times New Roman"/>
          <w:sz w:val="24"/>
          <w:szCs w:val="24"/>
        </w:rPr>
        <w:t>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3C82">
        <w:rPr>
          <w:rFonts w:ascii="Times New Roman" w:hAnsi="Times New Roman" w:cs="Times New Roman"/>
          <w:sz w:val="24"/>
          <w:szCs w:val="24"/>
        </w:rPr>
        <w:t>№</w:t>
      </w:r>
      <w:r w:rsidRPr="001113B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к Правилам организации деятельности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организаций социального обслуживания,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их структурных подразделений,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утвержденным приказом Министерства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РЕКОМЕНДУЕМЫЕ НОРМАТИВЫ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ШТАТНОЙ ЧИСЛЕННОСТИ ОРГАНИЗАЦИЙ, ПРЕДОСТАВЛЯЮЩИХ СОЦИАЛЬНЫЕ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УСЛУГИ В СТАЦИОНАРНОЙ ФОРМЕ СОЦИАЛЬНОГО ОБСЛУЖИВАНИЯ,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 ТОМ ЧИСЛЕ ДЕТСКИХ (ИХ СТРУКТУРНЫХ ПОДРАЗДЕЛЕНИЙ)</w:t>
      </w:r>
    </w:p>
    <w:p w:rsidR="001113B6" w:rsidRPr="001113B6" w:rsidRDefault="001113B6" w:rsidP="0011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I. Дома-интернаты для престарелых граждан, инвалидов,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молодых инвалидов, ветеранов войны и труда, дома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социального обслуживания, специальные дома-интернаты,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в том числе для престарелых, а также иные организации,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осуществляющие социальное обслуживание в стационарной форме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социального обслуживания, различных форм собственности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5499"/>
      </w:tblGrid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Сиделка (помощник по уходу)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48 получателей социальных услуг (нуждаемость I - II) (в дневное время суток)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78 получателей социальных услуг (нуждаемость I - II) (в ночное время суток)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18 получателей социальных услуг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 (круглосуточно)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IV) (круглосуточно)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III) (круглосуточно)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 - III)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Психолог (психолог в социальной сфере)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20 кровных и (или) замещающих семей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1,0 на организацию с численностью получателей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(нуждаемость I - II)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150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Инженер-электроник (электроник)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100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499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слуха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1,0 на 20 получателей социальных услуг с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зрения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II. Дома-интернаты для детей-инвалидов, дома социального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обслуживания для детей, а также иные организации,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осуществляющие социальное обслуживание детей в стационарной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форме социального обслуживания, различных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форм собственности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5499"/>
      </w:tblGrid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 (круглосуточно)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III) (круглосуточно)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IV) (круглосуточно)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III) (круглосуточно)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IV)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в возрасте 0 - 4 года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в возрасте 5 - 18 лет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гигиеническому воспитанию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на организацию с численностью получателей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  <w:vMerge w:val="restart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</w:t>
            </w:r>
          </w:p>
        </w:tc>
      </w:tr>
      <w:tr w:rsidR="001113B6" w:rsidRPr="001113B6">
        <w:tc>
          <w:tcPr>
            <w:tcW w:w="552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физкультуре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Психолог (психолог в социальной сфере)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20 кровных и (или) замещающих семей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 - II)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III - IV)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100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Инженер-электроник (электроник)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499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слуха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зрения</w:t>
            </w:r>
          </w:p>
        </w:tc>
      </w:tr>
      <w:tr w:rsidR="001113B6" w:rsidRPr="001113B6">
        <w:tc>
          <w:tcPr>
            <w:tcW w:w="552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05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5499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D43C82" w:rsidRDefault="00D43C82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C82" w:rsidRDefault="00D43C82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C82" w:rsidRDefault="00D43C82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C82" w:rsidRDefault="00D43C82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C82" w:rsidRDefault="00D43C82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3C82">
        <w:rPr>
          <w:rFonts w:ascii="Times New Roman" w:hAnsi="Times New Roman" w:cs="Times New Roman"/>
          <w:sz w:val="24"/>
          <w:szCs w:val="24"/>
        </w:rPr>
        <w:t>№</w:t>
      </w:r>
      <w:r w:rsidRPr="001113B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к Правилам организации деятельности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организаций социального обслуживания,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их структурных подразделений,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Министерства труда и социальной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защиты Российской Федерации</w:t>
      </w:r>
    </w:p>
    <w:p w:rsidR="001113B6" w:rsidRPr="001113B6" w:rsidRDefault="001113B6" w:rsidP="001113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45"/>
      <w:bookmarkEnd w:id="4"/>
      <w:r w:rsidRPr="001113B6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ОБОРУДОВАНИЯ ДЛЯ ОСНАЩЕНИЯ СТАЦИОНАРНЫХ ОРГАНИЗАЦИЙ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СОЦИАЛЬНОГО ОБСЛУЖИВАНИЯ, В ТОМ ЧИСЛЕ ДЕТСКИХ</w:t>
      </w:r>
    </w:p>
    <w:p w:rsidR="001113B6" w:rsidRPr="001113B6" w:rsidRDefault="001113B6" w:rsidP="0011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(ИХ СТРУКТУРНЫХ ПОДРАЗДЕЛЕНИЙ)</w:t>
      </w:r>
    </w:p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324"/>
        <w:gridCol w:w="2948"/>
        <w:gridCol w:w="1984"/>
      </w:tblGrid>
      <w:tr w:rsidR="001113B6" w:rsidRPr="001113B6">
        <w:tc>
          <w:tcPr>
            <w:tcW w:w="1757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Помещение (функциональная зона)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113B6" w:rsidRPr="001113B6">
        <w:tc>
          <w:tcPr>
            <w:tcW w:w="1757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9013" w:type="dxa"/>
            <w:gridSpan w:val="4"/>
          </w:tcPr>
          <w:p w:rsidR="001113B6" w:rsidRPr="001113B6" w:rsidRDefault="001113B6" w:rsidP="001113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жилых помещений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Спальная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коврик прикроватный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прикроватная с выдвижным ящиком, или тумбочка прикроватная со встроенным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надкроватным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индивидуальное/общее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лампа настенная (настольная, напольная)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шкаф, комод (для одежды)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стеллаж (полки)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спальную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окон в спальной комнате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термометр (не ртутный)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скамья для ног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спальную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ширма или шторы для выделения личного пространства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будильник или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вибробудильник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брайлевские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зубных протезов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часы настенные (с крупным циферблатом)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часы настенные, адаптированные для слепых и слабовидящих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предметы оформления интерьера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 числу окон в гостиной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телевизор с телетекстом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кулер для воды со стаканчиками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стеллаж (полки)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диваны, кресла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игры (игрушки для детей)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общее/индивидуальное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ковер напольный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аудио-, видеоаппаратура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персональный, оснащенный с учетом особенностей развития и здоровья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услуг, ноутбук, стол для компьютера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стул (к столу компьютерному)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для кухни (варочная панель, духовой шкаф, вытяжка, посудомоечная машина, чайник, мясорубка,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, микроволновая печь, блендер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кухонная посуда и утварь (кастрюли, сковороды, разделочные доски, ножи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посуда (кроме столовой посуды из металла) и столовые приборы (из нержавеющей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одновременно используемой столовой посуды и столовых приборов должно быть не меньше числа получателей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для сервировки стола (скатерть, ваза, солонка, хлебница,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фартуки для приготовления и приема пищи (многоразовые или одноразовые)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индивидуальные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Прихожая, зона для хранения вещей и технических средств реабилитации </w:t>
            </w:r>
            <w:hyperlink w:anchor="P872" w:history="1">
              <w:r w:rsidRPr="001113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прихожая)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шкафы для верхней одежды и обуви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прихожую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Подсобное помещение, зона,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утюг бытовой (парогенератор)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бытовая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на подсобное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(швабра, щетка, совок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Ванная комната и (или) душевая, зона для санитарно-гигиенических процедур (далее - ванная комната)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умывальник передвижной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умывальная раковина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ванную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ванная и (или) душевая кабина (ширма)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ванную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кресло-стула согласно индивидуальной программе реабилитации или </w:t>
            </w:r>
            <w:proofErr w:type="spellStart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вспомогательная ступень с поручнем для ванны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поручни, устройства для подъема и перемещения в ванну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сидение для ванны (съемное, навесное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опоры для фиксации ног в ванне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подъемник для перемещения с кресла-коляски в ванну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на ванну при наличии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средств личной гигиены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Электросушилка для рук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Дозаторы для жидкого мыла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9013" w:type="dxa"/>
            <w:gridSpan w:val="4"/>
          </w:tcPr>
          <w:p w:rsidR="001113B6" w:rsidRPr="001113B6" w:rsidRDefault="001113B6" w:rsidP="001113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Пояс для перемещения получателя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количестве, позволяющем каждому получателю социальных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Доска для перемещения получателя социальных услуг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Скользящие простыни для получателя социальных услуг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Подушки, пледы для позиционирования (в кровати, кресло-коляске и другом)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Подголовник и опора для шеи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Подушка, сиденье, спинка, предупреждающие пролежни и контрактуры (далее - подушка для предупреждения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пролежней)</w:t>
            </w:r>
          </w:p>
        </w:tc>
        <w:tc>
          <w:tcPr>
            <w:tcW w:w="2948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9013" w:type="dxa"/>
            <w:gridSpan w:val="4"/>
          </w:tcPr>
          <w:p w:rsidR="001113B6" w:rsidRPr="001113B6" w:rsidRDefault="001113B6" w:rsidP="001113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1113B6" w:rsidRPr="001113B6">
        <w:tc>
          <w:tcPr>
            <w:tcW w:w="1757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адаптивной физической культуре</w:t>
            </w:r>
          </w:p>
        </w:tc>
        <w:tc>
          <w:tcPr>
            <w:tcW w:w="2948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активных игр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двигательной активности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занятий по развитию навыков самообслуживания, бытовых навыков, навыков ведения </w:t>
            </w:r>
            <w:r w:rsidRPr="0011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blPrEx>
          <w:tblBorders>
            <w:insideH w:val="nil"/>
          </w:tblBorders>
        </w:tblPrEx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blPrEx>
          <w:tblBorders>
            <w:insideH w:val="nil"/>
          </w:tblBorders>
        </w:tblPrEx>
        <w:trPr>
          <w:trHeight w:val="276"/>
        </w:trPr>
        <w:tc>
          <w:tcPr>
            <w:tcW w:w="1757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1113B6" w:rsidRPr="001113B6" w:rsidRDefault="001113B6" w:rsidP="00111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творческих мастерских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трудовых мастерских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113B6" w:rsidRPr="001113B6">
        <w:tc>
          <w:tcPr>
            <w:tcW w:w="1757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1113B6" w:rsidRPr="001113B6" w:rsidRDefault="001113B6" w:rsidP="0011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3B6" w:rsidRPr="001113B6" w:rsidRDefault="001113B6" w:rsidP="0011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</w:tbl>
    <w:p w:rsidR="001113B6" w:rsidRPr="001113B6" w:rsidRDefault="001113B6" w:rsidP="00111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3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3B6" w:rsidRPr="001113B6" w:rsidRDefault="001113B6" w:rsidP="00111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2"/>
      <w:bookmarkEnd w:id="5"/>
      <w:r w:rsidRPr="001113B6">
        <w:rPr>
          <w:rFonts w:ascii="Times New Roman" w:hAnsi="Times New Roman" w:cs="Times New Roman"/>
          <w:sz w:val="24"/>
          <w:szCs w:val="24"/>
        </w:rPr>
        <w:t>&lt;1&gt; В данном помещении рекомендуется предусмотреть возможность хранения уличных колясок.</w:t>
      </w:r>
    </w:p>
    <w:sectPr w:rsidR="001113B6" w:rsidRPr="001113B6" w:rsidSect="001113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B6"/>
    <w:rsid w:val="00025539"/>
    <w:rsid w:val="000E50B0"/>
    <w:rsid w:val="001113B6"/>
    <w:rsid w:val="00757736"/>
    <w:rsid w:val="00AE4380"/>
    <w:rsid w:val="00D156F6"/>
    <w:rsid w:val="00D17DA6"/>
    <w:rsid w:val="00D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B12"/>
  <w15:chartTrackingRefBased/>
  <w15:docId w15:val="{4F113685-E333-4D2B-A221-5B804A5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13B6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13B6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64006ABD8561A119B71A34D14B8472D06BBAAC11CDAD52D8FCA5F88DC2D1B4F5132EFB0BC0F1F92825B82A664BB10E85F28F2D2C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9773</Words>
  <Characters>55707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1</cp:revision>
  <dcterms:created xsi:type="dcterms:W3CDTF">2021-01-15T13:03:00Z</dcterms:created>
  <dcterms:modified xsi:type="dcterms:W3CDTF">2021-01-15T13:15:00Z</dcterms:modified>
</cp:coreProperties>
</file>