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1A" w:rsidRDefault="0034341A">
      <w:pPr>
        <w:pStyle w:val="ConsPlusNormal"/>
        <w:jc w:val="both"/>
        <w:outlineLvl w:val="0"/>
      </w:pPr>
      <w:bookmarkStart w:id="0" w:name="_GoBack"/>
      <w:bookmarkEnd w:id="0"/>
    </w:p>
    <w:p w:rsidR="0034341A" w:rsidRDefault="0034341A">
      <w:pPr>
        <w:pStyle w:val="ConsPlusTitle"/>
        <w:jc w:val="center"/>
        <w:outlineLvl w:val="0"/>
      </w:pPr>
      <w:r>
        <w:t>ПРАВИТЕЛЬСТВО МОСКВЫ</w:t>
      </w:r>
    </w:p>
    <w:p w:rsidR="0034341A" w:rsidRDefault="0034341A">
      <w:pPr>
        <w:pStyle w:val="ConsPlusTitle"/>
        <w:jc w:val="both"/>
      </w:pPr>
    </w:p>
    <w:p w:rsidR="0034341A" w:rsidRDefault="0034341A">
      <w:pPr>
        <w:pStyle w:val="ConsPlusTitle"/>
        <w:jc w:val="center"/>
      </w:pPr>
      <w:r>
        <w:t>ПОСТАНОВЛЕНИЕ</w:t>
      </w:r>
    </w:p>
    <w:p w:rsidR="0034341A" w:rsidRDefault="0034341A">
      <w:pPr>
        <w:pStyle w:val="ConsPlusTitle"/>
        <w:jc w:val="center"/>
      </w:pPr>
      <w:r>
        <w:t>от 17 декабря 2019 г. N 1714-ПП</w:t>
      </w:r>
    </w:p>
    <w:p w:rsidR="0034341A" w:rsidRDefault="0034341A">
      <w:pPr>
        <w:pStyle w:val="ConsPlusTitle"/>
        <w:jc w:val="both"/>
      </w:pPr>
    </w:p>
    <w:p w:rsidR="0034341A" w:rsidRDefault="0034341A">
      <w:pPr>
        <w:pStyle w:val="ConsPlusTitle"/>
        <w:jc w:val="center"/>
      </w:pPr>
      <w:r>
        <w:t>ОБ АНАЛИТИЧЕСКОЙ СИСТЕМЕ КОНТРОЛЬНОЙ ДЕЯТЕЛЬНОСТИ ГЛАВНОГО</w:t>
      </w:r>
    </w:p>
    <w:p w:rsidR="0034341A" w:rsidRDefault="0034341A">
      <w:pPr>
        <w:pStyle w:val="ConsPlusTitle"/>
        <w:jc w:val="center"/>
      </w:pPr>
      <w:r>
        <w:t>КОНТРОЛЬНОГО УПРАВЛЕНИЯ ГОРОДА МОСКВЫ</w:t>
      </w: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Normal"/>
        <w:ind w:firstLine="540"/>
        <w:jc w:val="both"/>
      </w:pPr>
      <w:r>
        <w:t>В целях обеспечения автоматизации деятельности Главного контрольного управления города Москвы Правительство Москвы постановляет: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об аналитической системе контрольной деятельности Главного контрольного управления города Москвы (приложение).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2.1. Департамент информационных технологий города Москвы осуществляет от имени города Москвы правомочия собственника аналитической системы контрольной деятельности Главного контрольного управления города Москвы (далее - АСКД), является оператором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2.2. Главное контрольное управление города Москвы является уполномоченным органом исполнительной власти города Москвы, осуществляющим координацию информационного наполнения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4" w:history="1">
        <w:r>
          <w:rPr>
            <w:color w:val="0000FF"/>
          </w:rPr>
          <w:t>постановление</w:t>
        </w:r>
      </w:hyperlink>
      <w:r>
        <w:t xml:space="preserve"> Правительства Москвы от 12 апреля 2016 г. N 174-ПП "Об автоматизированной информационной системе обеспечения деятельности Главного контрольного управления города Москвы".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 xml:space="preserve">4. Контроль за выполнением настоящего постановления возложить на министра Правительства Москвы, руководителя Департамента информационных технологий города Москвы Лысенко Э.А. и министра Правительства Москвы, начальника Главного контрольного управления города Москвы </w:t>
      </w:r>
      <w:proofErr w:type="spellStart"/>
      <w:r>
        <w:t>Данчикова</w:t>
      </w:r>
      <w:proofErr w:type="spellEnd"/>
      <w:r>
        <w:t xml:space="preserve"> Е.А.</w:t>
      </w: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Normal"/>
        <w:jc w:val="right"/>
      </w:pPr>
      <w:r>
        <w:t>Мэр Москвы</w:t>
      </w:r>
    </w:p>
    <w:p w:rsidR="0034341A" w:rsidRDefault="0034341A">
      <w:pPr>
        <w:pStyle w:val="ConsPlusNormal"/>
        <w:jc w:val="right"/>
      </w:pPr>
      <w:r>
        <w:t xml:space="preserve">С.С. </w:t>
      </w:r>
      <w:proofErr w:type="spellStart"/>
      <w:r>
        <w:t>Собянин</w:t>
      </w:r>
      <w:proofErr w:type="spellEnd"/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Normal"/>
        <w:jc w:val="right"/>
        <w:outlineLvl w:val="0"/>
      </w:pPr>
      <w:r>
        <w:t>Приложение</w:t>
      </w:r>
    </w:p>
    <w:p w:rsidR="0034341A" w:rsidRDefault="0034341A">
      <w:pPr>
        <w:pStyle w:val="ConsPlusNormal"/>
        <w:jc w:val="right"/>
      </w:pPr>
      <w:r>
        <w:t>к постановлению Правительства</w:t>
      </w:r>
    </w:p>
    <w:p w:rsidR="0034341A" w:rsidRDefault="0034341A">
      <w:pPr>
        <w:pStyle w:val="ConsPlusNormal"/>
        <w:jc w:val="right"/>
      </w:pPr>
      <w:r>
        <w:t>Москвы</w:t>
      </w:r>
    </w:p>
    <w:p w:rsidR="0034341A" w:rsidRDefault="0034341A">
      <w:pPr>
        <w:pStyle w:val="ConsPlusNormal"/>
        <w:jc w:val="right"/>
      </w:pPr>
      <w:r>
        <w:t>от 17 декабря 2019 г. N 1714-ПП</w:t>
      </w: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Title"/>
        <w:jc w:val="center"/>
      </w:pPr>
      <w:bookmarkStart w:id="1" w:name="P29"/>
      <w:bookmarkEnd w:id="1"/>
      <w:r>
        <w:t>ПОЛОЖЕНИЕ</w:t>
      </w:r>
    </w:p>
    <w:p w:rsidR="0034341A" w:rsidRDefault="0034341A">
      <w:pPr>
        <w:pStyle w:val="ConsPlusTitle"/>
        <w:jc w:val="center"/>
      </w:pPr>
      <w:r>
        <w:t>ОБ АНАЛИТИЧЕСКОЙ СИСТЕМЕ КОНТРОЛЬНОЙ ДЕЯТЕЛЬНОСТИ</w:t>
      </w:r>
    </w:p>
    <w:p w:rsidR="0034341A" w:rsidRDefault="0034341A">
      <w:pPr>
        <w:pStyle w:val="ConsPlusTitle"/>
        <w:jc w:val="center"/>
      </w:pPr>
      <w:r>
        <w:t>ГЛАВНОГО КОНТРОЛЬНОГО УПРАВЛЕНИЯ ГОРОДА МОСКВЫ</w:t>
      </w: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Title"/>
        <w:jc w:val="center"/>
        <w:outlineLvl w:val="1"/>
      </w:pPr>
      <w:r>
        <w:t>1. Общие положения</w:t>
      </w: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Normal"/>
        <w:ind w:firstLine="540"/>
        <w:jc w:val="both"/>
      </w:pPr>
      <w:r>
        <w:t xml:space="preserve">1.1. Положение об аналитической системе контрольной деятельности Главного контрольного управления города Москвы (далее - Положение) определяет назначение, основные задачи и функции аналитической системы контрольной деятельности Главного контрольного управления </w:t>
      </w:r>
      <w:r>
        <w:lastRenderedPageBreak/>
        <w:t>города Москвы (далее - АСКД), состав участников информационного взаимодействия с использованием АСКД (далее - участники информационного взаимодействия), их полномочия.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1.2. АСКД представляет собой автоматизированную информационную систему города Москвы, предназначенную для автоматизации: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1.2.1. Деятельности Главного контрольного управления города Москвы по осуществлению контроля за соблюдением федеральных законов и иных нормативных правовых актов Российской Федерации, правовых актов города Москвы о контрактной системе в сфере закупок товаров, работ, услуг для обеспечения государственных и муниципальных нужд (далее - контроль в сфере закупок).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1.2.2. Деятельности органов исполнительной власти города Москвы по осуществлению государственного контроля (надзора) за соблюдением федеральных законов и иных нормативных правовых актов Российской Федерации, правовых актов города Москвы (далее - контрольно-надзорные органы).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1.3. АСКД является собственностью города Москвы.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1.4. Основными задачами АСКД являются: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1.4.1. Автоматизация деятельности контрольно-надзорных органов в части осуществления государственного контроля (надзора) за соблюдением федеральных законов и иных нормативных правовых актов Российской Федерации, правовых актов города Москвы, связанной с планированием, проведением государственного контроля (надзора), учетом и анализом его результатов.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1.4.2. Автоматизация процессов учета результатов рассмотрения дел об административных правонарушениях, полномочия по рассмотрению которых возложены на уполномоченный орган исполнительной власти города Москвы, осуществляющий координацию информационного наполнения АСКД (далее - уполномоченный орган).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1.4.3. Автоматизация процесса оценки результативности и эффективности осуществления государственного контроля (надзора).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1.4.4. Автоматизация деятельности уполномоченного органа в части осуществления мероприятий по контролю в сфере закупок, связанной в том числе с их планированием, проведением и учетом результатов проведенных мероприятий по контролю в сфере закупок.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1.4.5. Автоматизация процесса фиксации результатов предварительного контроля при согласовании обоснованности закупок, публикации процедур и исполнении государственных, муниципальных контрактов, гражданско-правовых договоров (далее - контракт).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1.4.6. Информационное взаимодействие между федеральными органами государственной власти и органами государственной власти города Москвы.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1.5. Основными функциями АСКД являются: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1.5.1. Формирование централизованного хранилища аналитической информации, необходимой для осуществления контрольной деятельности уполномоченным органом, на основании данных информационных систем федеральных органов государственной власти и органов государственной власти города Москвы и данных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1.5.2. Сбор и консолидация данных в части осуществления контрольно-надзорными органами государственного контроля (надзора) за соблюдением федеральных законов и иных нормативных правовых актов Российской Федерации, правовых актов города Москвы для целей последующего мониторинга и анализа со стороны уполномоченного органа, контрольно-надзорных органов.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lastRenderedPageBreak/>
        <w:t>1.5.3. Формирование планов мероприятий по осуществлению государственного контроля (надзора) контрольно-надзорными органами.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1.5.4. Формирование аналитической отчетности о результатах реализации контрольных мероприятий уполномоченным органом.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1.5.5. Формирование аналитической отчетности о результатах деятельности контрольно-надзорных органов.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1.5.6. Формирование планов контрольных мероприятий уполномоченного органа в рамках осуществления полномочий по контролю в сфере закупок.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1.5.7. Учет результатов работы уполномоченного органа по осуществлению мероприятий по контролю в сфере закупок.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1.5.8. Согласование возможности внесения заказчиками изменений в информацию о контрактах, заключения дополнительных соглашений к контрактам, расторжения по соглашению сторон контрактов с ценой, превышающей 10 млн. рублей, и заключения контракта с единственным поставщиком (исполнителем, подрядчиком) в случаях, предусмотренных федеральными законами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 xml:space="preserve">1.5.9. Учет результатов мониторинга данных по закупкам, проводимым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лиц", полученных из иных информационных систем города Москвы, в том числе из Единой автоматизированной информационной системы торгов города Москвы.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1.5.10. Учет результатов работы уполномоченного органа в рамках Межведомственной рабочей группы по проверке обоснованности заявленных потребностей.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1.5.11. Учет результатов мониторинга выполнения работ по контракту и приемки их результатов.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1.5.12. Учет результатов мониторинга и контроля планов-графиков закупок.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 xml:space="preserve">1.5.13. Обработка уведомлений о заключении контрактов с единственным поставщиком в соответствии с </w:t>
      </w:r>
      <w:hyperlink r:id="rId7" w:history="1">
        <w:r>
          <w:rPr>
            <w:color w:val="0000FF"/>
          </w:rPr>
          <w:t>пунктом 6</w:t>
        </w:r>
      </w:hyperlink>
      <w:r>
        <w:t xml:space="preserve"> и </w:t>
      </w:r>
      <w:hyperlink r:id="rId8" w:history="1">
        <w:r>
          <w:rPr>
            <w:color w:val="0000FF"/>
          </w:rPr>
          <w:t>пунктом 9 части 1 статьи 93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 xml:space="preserve">1.5.14. Формирование уведомлений о рисках нарушений в сфере закупок, проводимых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1.5.15. Расчет оценки результативности и эффективности осуществления государственного контроля (надзора).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1.5.16. Информационное взаимодействие с иными информационными системами.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1.6. Сведения, составляющие государственную тайну, не подлежат размещению и обработке в АСКД.</w:t>
      </w: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Title"/>
        <w:jc w:val="center"/>
        <w:outlineLvl w:val="1"/>
      </w:pPr>
      <w:r>
        <w:t>2. Участники информационного взаимодействия</w:t>
      </w: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Normal"/>
        <w:ind w:firstLine="540"/>
        <w:jc w:val="both"/>
      </w:pPr>
      <w:r>
        <w:lastRenderedPageBreak/>
        <w:t>2.1. Участниками информационного взаимодействия являются уполномоченный орган, оператор АСКД и пользователи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2.2. Пользователи АСКД - контрольно-надзорные органы.</w:t>
      </w: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Title"/>
        <w:jc w:val="center"/>
        <w:outlineLvl w:val="1"/>
      </w:pPr>
      <w:r>
        <w:t>3. Полномочия участников информационного взаимодействия</w:t>
      </w: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Normal"/>
        <w:ind w:firstLine="540"/>
        <w:jc w:val="both"/>
      </w:pPr>
      <w:r>
        <w:t>3.1. Уполномоченный орган: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3.1.1. Разрабатывает и утверждает по согласованию с оператором АСКД регламент информационного взаимодействия участников информационного взаимодействия (далее - регламент взаимодействия).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3.1.2. Разрабатывает и утверждает по согласованию с оператором АСКД регламент функционирования АСКД, включающий порядок формирования, хранения, использования и обработки информации, содержащейся в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3.1.3. Осуществляет взаимодействие с пользователями АСКД при размещении ими информации в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3.1.4. Определяет состав и содержание справочников АСКД и обеспечивает контроль за их актуализацией.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3.1.5. Формирует предложения оператору АСКД по развитию (модернизации)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3.1.6. Запрашивает у пользователей АСКД пояснения к информации, размещаемой ими в АСКД, в случае необходимости.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3.1.7. Согласовывает предоставление доступа в АСКД участникам информационного взаимодействия.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3.1.8. Соблюдает требования эксплуатационной документации по использованию АСКД, регламента взаимодействия, регламента функционирования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3.1.9. Организует и (или) осуществляет в рамках своей компетенции обработку персональных данных, содержащихся в АСКД, а также определяет цели обработки персональных данных, состав персональных данных, подлежащих обработке с использованием АСКД, действия (операции), совершаемые с персональными данными, содержащимися в АСКД, в соответствии с требованиями законодательства Российской Федерации о персональных данных.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3.2. Оператор АСКД: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3.2.1. Обеспечивает эксплуатацию, развитие (модернизацию)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3.2.2. Согласовывает регламент функционирования АСКД и регламент взаимодействия.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3.2.3. Обеспечивает технологическую возможность актуализации справочников АСКД по предложениям уполномоченного органа.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3.2.4. Обеспечивает функционирование АСКД в соответствии с регламентом функционирования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3.2.5. Обеспечивает в соответствии с регламентом функционирования АСКД предоставление доступа в АСКД участников информационного взаимодействия и информационно-технологическое взаимодействие АСКД с иными информационными системами.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 xml:space="preserve">3.2.6. Обеспечивает целостность и неизменность информации с момента ее размещения в </w:t>
      </w:r>
      <w:r>
        <w:lastRenderedPageBreak/>
        <w:t>АСКД, защиту такой информации, ее резервное копирование, а в необходимых случаях - восстановление.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3.2.7. Осуществляет техническое сопровождение и консультационную поддержку участников информационного взаимодействия по вопросам технического функционирования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3.2.8. Соблюдает требования эксплуатационной документации по использованию АСКД, регламента взаимодействия, регламента функционирования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3.3. Отдельные функции оператора АСКД по его решению могут быть переданы другому органу исполнительной власти города Москвы, государственному учреждению города Москвы или иной организации в соответствии с нормативными правовыми актами Российской Федерации и правовыми актами города Москвы.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3.4. Уполномоченный орган и оператор АСКД не несут ответственности за достоверность и полноту информации, размещенной пользователями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3.5. Пользователь АСКД: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3.5.1. В установленном порядке размещает информацию в АСКД и осуществляет доступ к информации, содержащейся в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3.5.2. Соблюдает требования эксплуатационной документации по использованию АСКД, регламента функционирования АСКД, регламента взаимодействия.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3.5.3. Получает сводную и аналитическую информацию на основе информации, размещенной в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3.5.4. Обеспечивает сохранность своих учетных данных, представленных оператором АСКД для использования функциональных возможностей АСКД, неразглашение указанных данных и недопущение использования функциональных возможностей АСКД третьими лицами без согласования с оператором АСКД.</w:t>
      </w:r>
    </w:p>
    <w:p w:rsidR="0034341A" w:rsidRDefault="0034341A">
      <w:pPr>
        <w:pStyle w:val="ConsPlusNormal"/>
        <w:spacing w:before="220"/>
        <w:ind w:firstLine="540"/>
        <w:jc w:val="both"/>
      </w:pPr>
      <w:r>
        <w:t>3.5.5. Несет ответственность за достоверность, полноту и актуальность размещаемой им информации в АСКД.</w:t>
      </w: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Normal"/>
        <w:jc w:val="both"/>
      </w:pPr>
    </w:p>
    <w:p w:rsidR="0034341A" w:rsidRDefault="003434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1262" w:rsidRDefault="00741262"/>
    <w:sectPr w:rsidR="00741262" w:rsidSect="0041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1A"/>
    <w:rsid w:val="0034341A"/>
    <w:rsid w:val="0074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AA15A-F438-4F0B-A886-1B03DD3D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4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34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8E78EF6115DE559B9A50E28DF16FE130973B8A834E3D1345444CF0DF22D7DA4039B73F4B08F92B628A97617D5F1DDB2F715AB0APBd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48E78EF6115DE559B9A50E28DF16FE130973B8A834E3D1345444CF0DF22D7DA4039B7BFDB783CEE767A82A5188E2DEBAF716AB16B94FF3PAd2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48E78EF6115DE559B9A50E28DF16FE130972B4AA3AE3D1345444CF0DF22D7DB603C377FFBE9AC7E772FE7B17PDdCT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48E78EF6115DE559B9A50E28DF16FE130973B8A834E3D1345444CF0DF22D7DB603C377FFBE9AC7E772FE7B17PDdCT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F48E78EF6115DE559B9A4033EB343AD1D007CB4AB3BE98C3E5C1DC30FF52222B316D22FF0B48CD8E66CE27915DFPEdET" TargetMode="External"/><Relationship Id="rId9" Type="http://schemas.openxmlformats.org/officeDocument/2006/relationships/hyperlink" Target="consultantplus://offline/ref=9F48E78EF6115DE559B9A50E28DF16FE130973B8A834E3D1345444CF0DF22D7DB603C377FFBE9AC7E772FE7B17PDd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Эльвек Каруев Саналович</dc:creator>
  <cp:keywords/>
  <dc:description/>
  <cp:lastModifiedBy>Эльвек Каруев Саналович</cp:lastModifiedBy>
  <cp:revision>1</cp:revision>
  <dcterms:created xsi:type="dcterms:W3CDTF">2021-10-28T19:29:00Z</dcterms:created>
  <dcterms:modified xsi:type="dcterms:W3CDTF">2021-10-28T19:29:00Z</dcterms:modified>
</cp:coreProperties>
</file>