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41" w:rsidRDefault="00E52780" w:rsidP="00E527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2780">
        <w:rPr>
          <w:rFonts w:ascii="Times New Roman" w:hAnsi="Times New Roman" w:cs="Times New Roman"/>
          <w:b/>
          <w:sz w:val="27"/>
          <w:szCs w:val="27"/>
        </w:rPr>
        <w:t>Информация о мерах ответственности, применяемых при нарушении обязательных требований</w:t>
      </w:r>
    </w:p>
    <w:p w:rsidR="000E14D5" w:rsidRDefault="000E14D5" w:rsidP="00E527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E14D5" w:rsidRDefault="000E14D5" w:rsidP="000E14D5">
      <w:pPr>
        <w:pStyle w:val="ConsPlusTitle"/>
        <w:ind w:firstLine="540"/>
        <w:jc w:val="both"/>
        <w:outlineLvl w:val="2"/>
      </w:pPr>
      <w:r>
        <w:t>Статья 9.13.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0E14D5" w:rsidRDefault="000E14D5" w:rsidP="000E14D5">
      <w:pPr>
        <w:pStyle w:val="ConsPlusNormal"/>
        <w:jc w:val="both"/>
      </w:pPr>
    </w:p>
    <w:p w:rsidR="000E14D5" w:rsidRDefault="000E14D5" w:rsidP="000E14D5">
      <w:pPr>
        <w:pStyle w:val="ConsPlusNormal"/>
        <w:ind w:firstLine="540"/>
        <w:jc w:val="both"/>
      </w:pPr>
      <w: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</w:t>
      </w:r>
      <w:r>
        <w:t xml:space="preserve"> </w:t>
      </w:r>
      <w:r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0E14D5" w:rsidRDefault="000E14D5" w:rsidP="000E14D5">
      <w:pPr>
        <w:pStyle w:val="ConsPlusNormal"/>
        <w:jc w:val="both"/>
      </w:pPr>
    </w:p>
    <w:p w:rsidR="000E14D5" w:rsidRDefault="000E14D5" w:rsidP="000E14D5">
      <w:pPr>
        <w:pStyle w:val="ConsPlusTitle"/>
        <w:ind w:firstLine="540"/>
        <w:jc w:val="both"/>
        <w:outlineLvl w:val="2"/>
      </w:pPr>
      <w:bookmarkStart w:id="0" w:name="Par3233"/>
      <w:bookmarkStart w:id="1" w:name="Par8109"/>
      <w:bookmarkEnd w:id="0"/>
      <w:bookmarkEnd w:id="1"/>
      <w: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 w:rsidR="000E14D5" w:rsidRDefault="000E14D5" w:rsidP="000E14D5">
      <w:pPr>
        <w:pStyle w:val="ConsPlusNormal"/>
        <w:jc w:val="both"/>
      </w:pPr>
    </w:p>
    <w:p w:rsidR="000E14D5" w:rsidRDefault="000E14D5" w:rsidP="000E14D5">
      <w:pPr>
        <w:pStyle w:val="ConsPlusNormal"/>
        <w:ind w:firstLine="540"/>
        <w:jc w:val="both"/>
      </w:pPr>
      <w:bookmarkStart w:id="2" w:name="Par8112"/>
      <w:bookmarkEnd w:id="2"/>
      <w: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  <w:r>
        <w:t xml:space="preserve"> в</w:t>
      </w:r>
      <w:r>
        <w:t>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0E14D5" w:rsidRDefault="000E14D5" w:rsidP="000E14D5">
      <w:pPr>
        <w:pStyle w:val="ConsPlusNormal"/>
        <w:jc w:val="both"/>
      </w:pPr>
      <w:bookmarkStart w:id="3" w:name="Par8116"/>
      <w:bookmarkEnd w:id="3"/>
    </w:p>
    <w:p w:rsidR="000E14D5" w:rsidRDefault="000E14D5" w:rsidP="000E14D5">
      <w:pPr>
        <w:pStyle w:val="ConsPlusTitle"/>
        <w:ind w:firstLine="540"/>
        <w:jc w:val="both"/>
        <w:outlineLvl w:val="2"/>
      </w:pPr>
      <w:bookmarkStart w:id="4" w:name="Par8137"/>
      <w:bookmarkEnd w:id="4"/>
      <w:r>
        <w:t>Статья 19.4.1. Воспрепятствование законной деятельности должностного лица органа государственно</w:t>
      </w:r>
      <w:bookmarkStart w:id="5" w:name="_GoBack"/>
      <w:bookmarkEnd w:id="5"/>
      <w:r>
        <w:t>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0E14D5" w:rsidRDefault="000E14D5" w:rsidP="000E14D5">
      <w:pPr>
        <w:pStyle w:val="ConsPlusNormal"/>
        <w:ind w:firstLine="540"/>
        <w:jc w:val="both"/>
      </w:pPr>
    </w:p>
    <w:p w:rsidR="000E14D5" w:rsidRDefault="000E14D5" w:rsidP="000E14D5">
      <w:pPr>
        <w:pStyle w:val="ConsPlusNormal"/>
        <w:ind w:firstLine="540"/>
        <w:jc w:val="both"/>
      </w:pPr>
      <w:bookmarkStart w:id="6" w:name="Par8141"/>
      <w:bookmarkEnd w:id="6"/>
      <w:r>
        <w:t xml:space="preserve"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w:anchor="Par5822" w:tooltip="4. Воспрепятствование организатором торговли проведению Банком России проверок или уклонение от таких проверок -" w:history="1">
        <w:r>
          <w:rPr>
            <w:color w:val="0000FF"/>
          </w:rPr>
          <w:t>частью 4 статьи 14.24</w:t>
        </w:r>
      </w:hyperlink>
      <w:r>
        <w:t xml:space="preserve">, </w:t>
      </w:r>
      <w:hyperlink w:anchor="Par7171" w:tooltip="9. Воспрепятствование профессиональным участником рынка ценных бумаг, клиринговой организацией, лицом, осуществляющим функции центрального контрагента, акционерным инвестиционным фондом, негосударственным пенсионным фондом, управляющей компанией акционерного и" w:history="1">
        <w:r>
          <w:rPr>
            <w:color w:val="0000FF"/>
          </w:rPr>
          <w:t>частью 9 статьи 15.29</w:t>
        </w:r>
      </w:hyperlink>
      <w:r>
        <w:t xml:space="preserve"> и </w:t>
      </w:r>
      <w:hyperlink w:anchor="Par8149" w:tooltip="Статья 19.4.2. Воспрепятствование осуществлению законной деятельности должностного лица федерального органа исполнительной власти, осуществляющего функции по контролю и надзору в сфере государственного оборонного заказа, или должностных лиц его территориальных" w:history="1">
        <w:r>
          <w:rPr>
            <w:color w:val="0000FF"/>
          </w:rPr>
          <w:t>статьей 19.4.2</w:t>
        </w:r>
      </w:hyperlink>
      <w:r>
        <w:t xml:space="preserve"> настоящего Кодекса, -</w:t>
      </w:r>
      <w:r>
        <w:t xml:space="preserve"> </w:t>
      </w:r>
      <w: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0E14D5" w:rsidRDefault="000E14D5" w:rsidP="000E14D5">
      <w:pPr>
        <w:pStyle w:val="ConsPlusNormal"/>
        <w:spacing w:before="240"/>
        <w:ind w:firstLine="540"/>
        <w:jc w:val="both"/>
      </w:pPr>
      <w:bookmarkStart w:id="7" w:name="Par8144"/>
      <w:bookmarkEnd w:id="7"/>
      <w:r>
        <w:t xml:space="preserve">2. Действия (бездействие), предусмотренные </w:t>
      </w:r>
      <w:hyperlink w:anchor="Par8141" w:tooltip="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" w:history="1">
        <w:r>
          <w:rPr>
            <w:color w:val="0000FF"/>
          </w:rPr>
          <w:t>частью 1</w:t>
        </w:r>
      </w:hyperlink>
      <w:r>
        <w:t xml:space="preserve"> настоящей статьи, повлекшие невозможность проведения или завершения проверки, -</w:t>
      </w:r>
      <w:r>
        <w:t xml:space="preserve"> </w:t>
      </w:r>
      <w: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0E14D5" w:rsidRDefault="000E14D5" w:rsidP="000E14D5">
      <w:pPr>
        <w:pStyle w:val="ConsPlusNormal"/>
        <w:spacing w:before="240"/>
        <w:ind w:firstLine="540"/>
        <w:jc w:val="both"/>
      </w:pPr>
      <w:r>
        <w:t xml:space="preserve">3. Повторное совершение административного правонарушения, предусмотренного </w:t>
      </w:r>
      <w:hyperlink w:anchor="Par8144" w:tooltip="2. Действия (бездействие), предусмотренные частью 1 настоящей статьи, повлекшие невозможность проведения или завершения проверки, -" w:history="1">
        <w:r>
          <w:rPr>
            <w:color w:val="0000FF"/>
          </w:rPr>
          <w:t>частью 2</w:t>
        </w:r>
      </w:hyperlink>
      <w:r>
        <w:t xml:space="preserve"> настоящей статьи, -</w:t>
      </w:r>
      <w:r>
        <w:t xml:space="preserve"> </w:t>
      </w:r>
      <w:r>
        <w:t xml:space="preserve">влечет наложение административного штрафа на </w:t>
      </w:r>
      <w:r>
        <w:lastRenderedPageBreak/>
        <w:t>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0E14D5" w:rsidRDefault="000E14D5" w:rsidP="000E14D5">
      <w:pPr>
        <w:pStyle w:val="ConsPlusNormal"/>
        <w:ind w:firstLine="540"/>
        <w:jc w:val="both"/>
      </w:pPr>
    </w:p>
    <w:p w:rsidR="000E14D5" w:rsidRDefault="000E14D5" w:rsidP="000E14D5">
      <w:pPr>
        <w:pStyle w:val="ConsPlusTitle"/>
        <w:ind w:firstLine="540"/>
        <w:jc w:val="both"/>
        <w:outlineLvl w:val="2"/>
      </w:pPr>
      <w:bookmarkStart w:id="8" w:name="Par8149"/>
      <w:bookmarkStart w:id="9" w:name="Par8155"/>
      <w:bookmarkEnd w:id="8"/>
      <w:bookmarkEnd w:id="9"/>
      <w: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0E14D5" w:rsidRDefault="000E14D5" w:rsidP="000E14D5">
      <w:pPr>
        <w:pStyle w:val="ConsPlusNormal"/>
        <w:jc w:val="both"/>
      </w:pPr>
    </w:p>
    <w:p w:rsidR="000E14D5" w:rsidRDefault="000E14D5" w:rsidP="000E14D5">
      <w:pPr>
        <w:pStyle w:val="ConsPlusNormal"/>
        <w:ind w:firstLine="540"/>
        <w:jc w:val="both"/>
      </w:pPr>
      <w:bookmarkStart w:id="10" w:name="Par8158"/>
      <w:bookmarkEnd w:id="10"/>
      <w: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r>
        <w:t xml:space="preserve"> </w:t>
      </w:r>
      <w: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0E14D5" w:rsidRDefault="000E14D5" w:rsidP="000E14D5">
      <w:pPr>
        <w:pStyle w:val="ConsPlusNormal"/>
        <w:ind w:firstLine="540"/>
        <w:jc w:val="both"/>
      </w:pPr>
      <w:bookmarkStart w:id="11" w:name="Par8162"/>
      <w:bookmarkEnd w:id="11"/>
    </w:p>
    <w:p w:rsidR="000E14D5" w:rsidRDefault="000E14D5" w:rsidP="000E14D5">
      <w:pPr>
        <w:pStyle w:val="ConsPlusTitle"/>
        <w:ind w:firstLine="540"/>
        <w:jc w:val="both"/>
        <w:outlineLvl w:val="2"/>
      </w:pPr>
      <w:bookmarkStart w:id="12" w:name="Par8347"/>
      <w:bookmarkEnd w:id="12"/>
      <w:r>
        <w:t>Статья 19.6. Непринятие мер по устранению причин и условий, способствовавших совершению административного правонарушения</w:t>
      </w:r>
    </w:p>
    <w:p w:rsidR="000E14D5" w:rsidRDefault="000E14D5" w:rsidP="000E14D5">
      <w:pPr>
        <w:pStyle w:val="ConsPlusNormal"/>
        <w:jc w:val="both"/>
      </w:pPr>
    </w:p>
    <w:p w:rsidR="000E14D5" w:rsidRDefault="000E14D5" w:rsidP="000E14D5">
      <w:pPr>
        <w:pStyle w:val="ConsPlusNormal"/>
        <w:ind w:firstLine="540"/>
        <w:jc w:val="both"/>
      </w:pPr>
      <w: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</w:t>
      </w:r>
      <w:r>
        <w:t xml:space="preserve"> </w:t>
      </w:r>
      <w:r>
        <w:t>влечет наложение административного штрафа на должностных лиц в размере от четырех тысяч до пяти тысяч рублей.</w:t>
      </w:r>
    </w:p>
    <w:p w:rsidR="000E14D5" w:rsidRDefault="000E14D5" w:rsidP="000E14D5">
      <w:pPr>
        <w:pStyle w:val="ConsPlusNormal"/>
        <w:jc w:val="both"/>
      </w:pPr>
    </w:p>
    <w:p w:rsidR="000E14D5" w:rsidRDefault="000E14D5" w:rsidP="000E14D5">
      <w:pPr>
        <w:pStyle w:val="ConsPlusTitle"/>
        <w:ind w:firstLine="540"/>
        <w:jc w:val="both"/>
        <w:outlineLvl w:val="2"/>
      </w:pPr>
      <w:bookmarkStart w:id="13" w:name="Par8353"/>
      <w:bookmarkStart w:id="14" w:name="Par8370"/>
      <w:bookmarkEnd w:id="13"/>
      <w:bookmarkEnd w:id="14"/>
      <w:r>
        <w:t>Статья 19.7. Непредставление сведений (информации)</w:t>
      </w:r>
    </w:p>
    <w:p w:rsidR="000E14D5" w:rsidRDefault="000E14D5" w:rsidP="000E14D5">
      <w:pPr>
        <w:pStyle w:val="ConsPlusNormal"/>
        <w:jc w:val="both"/>
      </w:pPr>
    </w:p>
    <w:p w:rsidR="000E14D5" w:rsidRDefault="000E14D5" w:rsidP="000E14D5">
      <w:pPr>
        <w:pStyle w:val="ConsPlusNormal"/>
        <w:ind w:firstLine="540"/>
        <w:jc w:val="both"/>
      </w:pPr>
      <w: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w:anchor="Par1604" w:tooltip="Статья 6.16. Нарушение правил оборота наркотических средств, психотропных веществ и их прекурсоров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" w:history="1">
        <w:r>
          <w:rPr>
            <w:color w:val="0000FF"/>
          </w:rPr>
          <w:t>статьей 6.16</w:t>
        </w:r>
      </w:hyperlink>
      <w:r>
        <w:t xml:space="preserve">, </w:t>
      </w:r>
      <w:hyperlink w:anchor="Par1772" w:tooltip="2. Несообщение или сокрытие информации о реакциях и об осложнениях, возникших у реципиентов в связи с трансфузией (переливанием) донорской крови и (или) ее компонентов, субъектами обращения донорской крови и (или) ее компонентов, осуществляющими их клиническое" w:history="1">
        <w:r>
          <w:rPr>
            <w:color w:val="0000FF"/>
          </w:rPr>
          <w:t>частью 2 статьи 6.31</w:t>
        </w:r>
      </w:hyperlink>
      <w:r>
        <w:t xml:space="preserve">, </w:t>
      </w:r>
      <w:hyperlink w:anchor="Par2814" w:tooltip="1.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-" w:history="1">
        <w:r>
          <w:rPr>
            <w:color w:val="0000FF"/>
          </w:rPr>
          <w:t>частями 1</w:t>
        </w:r>
      </w:hyperlink>
      <w:r>
        <w:t xml:space="preserve">, </w:t>
      </w:r>
      <w:hyperlink w:anchor="Par2816" w:tooltip="2. Непредставление или несвоевременное представление должностными лицами уполномоченных органов государственной власти, органов местного самоуправления информации в единую государственную автоматизированную информационную систему учета древесины и сделок с ней" w:history="1">
        <w:r>
          <w:rPr>
            <w:color w:val="0000FF"/>
          </w:rPr>
          <w:t>2</w:t>
        </w:r>
      </w:hyperlink>
      <w:r>
        <w:t xml:space="preserve"> и </w:t>
      </w:r>
      <w:hyperlink w:anchor="Par2820" w:tooltip="4. Нарушение требований лесного законодательства в части обязательной маркировки древесины -" w:history="1">
        <w:r>
          <w:rPr>
            <w:color w:val="0000FF"/>
          </w:rPr>
          <w:t>4 статьи 8.28.1</w:t>
        </w:r>
      </w:hyperlink>
      <w:r>
        <w:t xml:space="preserve">, </w:t>
      </w:r>
      <w:hyperlink w:anchor="Par2882" w:tooltip="Статья 8.32.1. Ненаправление, несвоевременное направление, направление недостоверной информации в федеральный орган исполнительной власти, уполномоченный на ведение реестра недобросовестных арендаторов лесных участков и покупателей лесных насаждений" w:history="1">
        <w:r>
          <w:rPr>
            <w:color w:val="0000FF"/>
          </w:rPr>
          <w:t>статьей 8.32.1</w:t>
        </w:r>
      </w:hyperlink>
      <w:r>
        <w:t xml:space="preserve">, </w:t>
      </w:r>
      <w:hyperlink w:anchor="Par3072" w:tooltip="1. Непредставление, несвоевременное представление в федеральный орган исполнительной власти, уполномоченный на ведение реестра недобросовестных водопользователей и участников аукциона на право заключения договора водопользования, информации, подлежащей включен" w:history="1">
        <w:r>
          <w:rPr>
            <w:color w:val="0000FF"/>
          </w:rPr>
          <w:t>частью 1 статьи 8.49</w:t>
        </w:r>
      </w:hyperlink>
      <w:r>
        <w:t xml:space="preserve">, </w:t>
      </w:r>
      <w:hyperlink w:anchor="Par5498" w:tooltip="5.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Российской Федерации о применении кон" w:history="1">
        <w:r>
          <w:rPr>
            <w:color w:val="0000FF"/>
          </w:rPr>
          <w:t>частью 5 статьи 14.5</w:t>
        </w:r>
      </w:hyperlink>
      <w:r>
        <w:t xml:space="preserve">, </w:t>
      </w:r>
      <w:hyperlink w:anchor="Par5921" w:tooltip="4. Непредставление лицом, деятельность которого связана с привлечением денежных средств граждан и юридических лиц для строительства (создания) многоквартирных домов и (или) иных объектов недвижимости, в установленный срок в орган, осуществляющий региональный г" w:history="1">
        <w:r>
          <w:rPr>
            <w:color w:val="0000FF"/>
          </w:rPr>
          <w:t>частью 4 статьи 14.28</w:t>
        </w:r>
      </w:hyperlink>
      <w:r>
        <w:t xml:space="preserve">, </w:t>
      </w:r>
      <w:hyperlink w:anchor="Par6242" w:tooltip="1. Невыполнение изготовителем (исполнителем, продавцом, лицом, выполняющим функции иностранного изготовителя),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" w:history="1">
        <w:r>
          <w:rPr>
            <w:color w:val="0000FF"/>
          </w:rPr>
          <w:t>частью 1 статьи 14.46.2</w:t>
        </w:r>
      </w:hyperlink>
      <w:r>
        <w:t xml:space="preserve">, </w:t>
      </w:r>
      <w:hyperlink w:anchor="Par8377" w:tooltip="Статья 19.7.1. 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" w:history="1">
        <w:r>
          <w:rPr>
            <w:color w:val="0000FF"/>
          </w:rPr>
          <w:t>статьями 19.7.1</w:t>
        </w:r>
      </w:hyperlink>
      <w:r>
        <w:t xml:space="preserve">, </w:t>
      </w:r>
      <w:hyperlink w:anchor="Par8393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>
          <w:rPr>
            <w:color w:val="0000FF"/>
          </w:rPr>
          <w:t>19.7.2</w:t>
        </w:r>
      </w:hyperlink>
      <w:r>
        <w:t xml:space="preserve">, </w:t>
      </w:r>
      <w:hyperlink w:anchor="Par8403" w:tooltip="Статья 19.7.2-1. Непредставление информации либо представление заведомо недостоверной информации в орган, уполномоченный на осуществление контроля в сфере закупок товаров, работ, услуг отдельными видами юридических лиц" w:history="1">
        <w:r>
          <w:rPr>
            <w:color w:val="0000FF"/>
          </w:rPr>
          <w:t>19.7.2-1</w:t>
        </w:r>
      </w:hyperlink>
      <w:r>
        <w:t xml:space="preserve">, </w:t>
      </w:r>
      <w:hyperlink w:anchor="Par8409" w:tooltip="Статья 19.7.3. Непредставление информации в Банк России" w:history="1">
        <w:r>
          <w:rPr>
            <w:color w:val="0000FF"/>
          </w:rPr>
          <w:t>19.7.3</w:t>
        </w:r>
      </w:hyperlink>
      <w:r>
        <w:t xml:space="preserve">, </w:t>
      </w:r>
      <w:hyperlink w:anchor="Par8419" w:tooltip="Статья 19.7.5. Непредставление информации об актах незаконного вмешательства" w:history="1">
        <w:r>
          <w:rPr>
            <w:color w:val="0000FF"/>
          </w:rPr>
          <w:t>19.7.5</w:t>
        </w:r>
      </w:hyperlink>
      <w:r>
        <w:t xml:space="preserve">, </w:t>
      </w:r>
      <w:hyperlink w:anchor="Par8425" w:tooltip="Статья 19.7.5-1.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" w:history="1">
        <w:r>
          <w:rPr>
            <w:color w:val="0000FF"/>
          </w:rPr>
          <w:t>19.7.5-1</w:t>
        </w:r>
      </w:hyperlink>
      <w:r>
        <w:t xml:space="preserve">, </w:t>
      </w:r>
      <w:hyperlink w:anchor="Par8434" w:tooltip="Статья 19.7.5-2. Непредставление сведений некоммерческой организацией, выполняющей функции иностранного агента" w:history="1">
        <w:r>
          <w:rPr>
            <w:color w:val="0000FF"/>
          </w:rPr>
          <w:t>19.7.5-2</w:t>
        </w:r>
      </w:hyperlink>
      <w:r>
        <w:t xml:space="preserve">, </w:t>
      </w:r>
      <w:hyperlink w:anchor="Par8443" w:tooltip="1. Непредставление или несвоевременное представление общественным объединением, функционирующим без приобретения прав юридического лица, получающим денежные средства и (или) иное имущество от иностранных источников и участвующим в политической деятельности на " w:history="1">
        <w:r>
          <w:rPr>
            <w:color w:val="0000FF"/>
          </w:rPr>
          <w:t>частью 1 статьи 19.7.5-3</w:t>
        </w:r>
      </w:hyperlink>
      <w:r>
        <w:t xml:space="preserve">, </w:t>
      </w:r>
      <w:hyperlink w:anchor="Par8454" w:tooltip="1. Непредставление или несвоевременное представление физическим лицом, выполняющим функции иностранного агента, в уполномоченный орган сведений (информации), представление которых предусмотрено законом и необходимо для осуществления уполномоченным органом свое" w:history="1">
        <w:r>
          <w:rPr>
            <w:color w:val="0000FF"/>
          </w:rPr>
          <w:t>частью 1 статьи 19.7.5-4</w:t>
        </w:r>
      </w:hyperlink>
      <w:r>
        <w:t xml:space="preserve">, </w:t>
      </w:r>
      <w:hyperlink w:anchor="Par8465" w:tooltip="Статья 19.7.7. Непредоставление информации в единую федеральную автоматизированную информационную систему сведений о показах фильмов в кинозалах" w:history="1">
        <w:r>
          <w:rPr>
            <w:color w:val="0000FF"/>
          </w:rPr>
          <w:t>статьями 19.7.7</w:t>
        </w:r>
      </w:hyperlink>
      <w:r>
        <w:t xml:space="preserve">, </w:t>
      </w:r>
      <w:hyperlink w:anchor="Par8476" w:tooltip="Статья 19.7.8. Непредставление сведений или представление заведомо недостоверных сведений в федеральный орган исполнительной власти, осуществляющий функции по контролю и надзору в сфере здравоохранения" w:history="1">
        <w:r>
          <w:rPr>
            <w:color w:val="0000FF"/>
          </w:rPr>
          <w:t>19.7.8</w:t>
        </w:r>
      </w:hyperlink>
      <w:r>
        <w:t xml:space="preserve">, </w:t>
      </w:r>
      <w:hyperlink w:anchor="Par8482" w:tooltip="Статья 19.7.9. Непредставление сведений в автоматизированные централизованные базы персональных данных о пассажирах и персонале транспортных средств" w:history="1">
        <w:r>
          <w:rPr>
            <w:color w:val="0000FF"/>
          </w:rPr>
          <w:t>19.7.9</w:t>
        </w:r>
      </w:hyperlink>
      <w:r>
        <w:t xml:space="preserve">, </w:t>
      </w:r>
      <w:hyperlink w:anchor="Par8542" w:tooltip="Статья 19.7.12. Непредставление или ненадлежащее представление сведений (информации) в федеральный орган исполнительной власти, уполномоченный в области приватизации и управления государственным имуществом" w:history="1">
        <w:r>
          <w:rPr>
            <w:color w:val="0000FF"/>
          </w:rPr>
          <w:t>19.7.12</w:t>
        </w:r>
      </w:hyperlink>
      <w:r>
        <w:t xml:space="preserve">, </w:t>
      </w:r>
      <w:hyperlink w:anchor="Par8549" w:tooltip="Статья 19.7.13. Непредставление или несвоевременное представление в таможенный орган статистической формы учета перемещения товаров" w:history="1">
        <w:r>
          <w:rPr>
            <w:color w:val="0000FF"/>
          </w:rPr>
          <w:t>19.7.13</w:t>
        </w:r>
      </w:hyperlink>
      <w:r>
        <w:t xml:space="preserve">, </w:t>
      </w:r>
      <w:hyperlink w:anchor="Par8560" w:tooltip="Статья 19.7.14.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" w:history="1">
        <w:r>
          <w:rPr>
            <w:color w:val="0000FF"/>
          </w:rPr>
          <w:t>19.7.14</w:t>
        </w:r>
      </w:hyperlink>
      <w:r>
        <w:t xml:space="preserve">, </w:t>
      </w:r>
      <w:hyperlink w:anchor="Par8568" w:tooltip="Статья 19.7.15. Непредставление сведений, предусмотренных законодательством в области обеспечения безопасности критической информационной инфраструктуры Российской Федерации" w:history="1">
        <w:r>
          <w:rPr>
            <w:color w:val="0000FF"/>
          </w:rPr>
          <w:t>19.7.15</w:t>
        </w:r>
      </w:hyperlink>
      <w:r>
        <w:t xml:space="preserve">, </w:t>
      </w:r>
      <w:hyperlink w:anchor="Par8576" w:tooltip="Статья 19.8. Непредставление ходатайств, уведомлений (заявлений), сведений (информации) в федеральный антимонопольный орган, его территориальные органы, органы регулирования естественных монополий или органы, уполномоченные в области экспортного контроля" w:history="1">
        <w:r>
          <w:rPr>
            <w:color w:val="0000FF"/>
          </w:rPr>
          <w:t>19.8</w:t>
        </w:r>
      </w:hyperlink>
      <w:r>
        <w:t xml:space="preserve">, </w:t>
      </w:r>
      <w:hyperlink w:anchor="Par8632" w:tooltip="Статья 19.8.3. Нарушение установленного порядка подачи уведомления о наличии у гражданина Российской Федерации гражданства (подданства) иностранного государства либо вида на жительство или иного действительного документа, подтверждающего право на его постоянно" w:history="1">
        <w:r>
          <w:rPr>
            <w:color w:val="0000FF"/>
          </w:rPr>
          <w:t>19.8.3</w:t>
        </w:r>
      </w:hyperlink>
      <w:r>
        <w:t xml:space="preserve"> настоящего Кодекса, -</w:t>
      </w:r>
      <w:r>
        <w:t xml:space="preserve"> </w:t>
      </w:r>
      <w: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88491A" w:rsidRPr="0088491A" w:rsidRDefault="0088491A" w:rsidP="00884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20.25. Уклонение от исполнения административного наказания</w:t>
      </w:r>
    </w:p>
    <w:p w:rsidR="0088491A" w:rsidRPr="0088491A" w:rsidRDefault="0088491A" w:rsidP="0088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91A" w:rsidRPr="0088491A" w:rsidRDefault="0088491A" w:rsidP="00884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8"/>
      <w:bookmarkEnd w:id="15"/>
      <w:r w:rsidRPr="0088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Неуплата административного штрафа в </w:t>
      </w:r>
      <w:proofErr w:type="gramStart"/>
      <w:r w:rsidRPr="008849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3872" w:rsidRDefault="00BE3872" w:rsidP="00884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91A" w:rsidRPr="0088491A" w:rsidRDefault="0088491A" w:rsidP="00884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88491A" w:rsidRPr="0088491A" w:rsidRDefault="0088491A" w:rsidP="00884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34"/>
      <w:bookmarkEnd w:id="16"/>
      <w:r w:rsidRPr="0088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административной ответственности за совершение административного правонарушения, предусмотренного </w:t>
      </w:r>
      <w:hyperlink w:anchor="p8" w:history="1">
        <w:r w:rsidRPr="0088491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</w:t>
        </w:r>
      </w:hyperlink>
      <w:r w:rsidRPr="0088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привлекаются иностранные граждане и лица без гражданства в случае, если они своевременно не уплатили административный штраф, который был назначен им одновременно с административным выдворением за пределы Российской Федерации.</w:t>
      </w:r>
    </w:p>
    <w:p w:rsidR="000E14D5" w:rsidRDefault="000E14D5" w:rsidP="000E14D5">
      <w:pPr>
        <w:pStyle w:val="ConsPlusNormal"/>
        <w:jc w:val="both"/>
      </w:pPr>
    </w:p>
    <w:p w:rsidR="000E14D5" w:rsidRPr="00E52780" w:rsidRDefault="000E14D5" w:rsidP="00E527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780" w:rsidRPr="00E52780" w:rsidRDefault="00E52780" w:rsidP="00E527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780" w:rsidRPr="00E52780" w:rsidRDefault="00E52780" w:rsidP="00E527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E52780" w:rsidRPr="00E5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80"/>
    <w:rsid w:val="000E14D5"/>
    <w:rsid w:val="00837B41"/>
    <w:rsid w:val="0088491A"/>
    <w:rsid w:val="00BE3872"/>
    <w:rsid w:val="00E5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6606"/>
  <w15:chartTrackingRefBased/>
  <w15:docId w15:val="{3BFDF03F-A5D7-42A2-9249-139C5017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1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4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0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791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0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204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2021-10-13T09:55:00Z</dcterms:created>
  <dcterms:modified xsi:type="dcterms:W3CDTF">2021-10-13T10:23:00Z</dcterms:modified>
</cp:coreProperties>
</file>